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1C" w:rsidRDefault="0073631C" w:rsidP="0073631C">
      <w:pPr>
        <w:pStyle w:val="Header"/>
        <w:tabs>
          <w:tab w:val="clear" w:pos="9026"/>
        </w:tabs>
        <w:ind w:left="-567" w:right="-472"/>
        <w:jc w:val="center"/>
        <w:rPr>
          <w:rStyle w:val="Emphasis"/>
          <w:b/>
          <w:sz w:val="24"/>
        </w:rPr>
      </w:pPr>
      <w:r>
        <w:rPr>
          <w:rStyle w:val="Emphasis"/>
          <w:b/>
          <w:sz w:val="24"/>
        </w:rPr>
        <w:t>Annual General Meeting 2016</w:t>
      </w:r>
    </w:p>
    <w:p w:rsidR="0073631C" w:rsidRPr="00897E41" w:rsidRDefault="0073631C" w:rsidP="0073631C">
      <w:pPr>
        <w:pStyle w:val="Header"/>
        <w:tabs>
          <w:tab w:val="clear" w:pos="9026"/>
        </w:tabs>
        <w:ind w:left="-851" w:right="-613"/>
        <w:rPr>
          <w:szCs w:val="20"/>
        </w:rPr>
      </w:pPr>
      <w:r w:rsidRPr="00897E41">
        <w:rPr>
          <w:szCs w:val="20"/>
        </w:rPr>
        <w:t>Monday 11 July</w:t>
      </w:r>
      <w:r>
        <w:rPr>
          <w:rStyle w:val="Strong"/>
          <w:b w:val="0"/>
          <w:szCs w:val="20"/>
        </w:rPr>
        <w:t>; 2:30pm-3:0</w:t>
      </w:r>
      <w:r w:rsidRPr="00897E41">
        <w:rPr>
          <w:rStyle w:val="Strong"/>
          <w:b w:val="0"/>
          <w:szCs w:val="20"/>
        </w:rPr>
        <w:t>0pm; Committee Room 19, House of Commons, Westminster, SW1A 0AA</w:t>
      </w:r>
    </w:p>
    <w:p w:rsidR="0073631C" w:rsidRPr="00897E41" w:rsidRDefault="0073631C" w:rsidP="0073631C">
      <w:pPr>
        <w:ind w:left="-851" w:right="-755"/>
        <w:rPr>
          <w:szCs w:val="20"/>
        </w:rPr>
      </w:pPr>
    </w:p>
    <w:p w:rsidR="0073631C" w:rsidRDefault="0073631C" w:rsidP="0073631C">
      <w:pPr>
        <w:pStyle w:val="ListParagraph"/>
        <w:ind w:left="-851" w:right="-755"/>
        <w:rPr>
          <w:b/>
          <w:sz w:val="21"/>
          <w:szCs w:val="21"/>
        </w:rPr>
      </w:pPr>
      <w:r>
        <w:rPr>
          <w:b/>
          <w:sz w:val="21"/>
          <w:szCs w:val="21"/>
        </w:rPr>
        <w:t>Attendees</w:t>
      </w:r>
      <w:bookmarkStart w:id="0" w:name="_GoBack"/>
      <w:bookmarkEnd w:id="0"/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 xml:space="preserve">Paul </w:t>
      </w:r>
      <w:proofErr w:type="spellStart"/>
      <w:r>
        <w:rPr>
          <w:sz w:val="21"/>
          <w:szCs w:val="21"/>
        </w:rPr>
        <w:t>Blomfield</w:t>
      </w:r>
      <w:proofErr w:type="spellEnd"/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 xml:space="preserve">Alison </w:t>
      </w:r>
      <w:proofErr w:type="spellStart"/>
      <w:r>
        <w:rPr>
          <w:sz w:val="21"/>
          <w:szCs w:val="21"/>
        </w:rPr>
        <w:t>Thewliss</w:t>
      </w:r>
      <w:proofErr w:type="spellEnd"/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Roberta Blackman-Woods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Daniel Zeichner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Richard Burden</w:t>
      </w:r>
    </w:p>
    <w:p w:rsidR="0073631C" w:rsidRP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Gavin Newlands</w:t>
      </w:r>
    </w:p>
    <w:p w:rsidR="0073631C" w:rsidRDefault="0073631C" w:rsidP="0073631C">
      <w:pPr>
        <w:pStyle w:val="ListParagraph"/>
        <w:ind w:left="-851" w:right="-755"/>
        <w:rPr>
          <w:b/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Formal business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In line with the rules of APPGs, quorum was met.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</w:p>
    <w:p w:rsidR="0073631C" w:rsidRDefault="0073631C" w:rsidP="0017067B">
      <w:pPr>
        <w:pStyle w:val="ListParagraph"/>
        <w:numPr>
          <w:ilvl w:val="0"/>
          <w:numId w:val="2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 xml:space="preserve">Paul </w:t>
      </w:r>
      <w:proofErr w:type="spellStart"/>
      <w:r>
        <w:rPr>
          <w:sz w:val="21"/>
          <w:szCs w:val="21"/>
        </w:rPr>
        <w:t>Blomfield</w:t>
      </w:r>
      <w:proofErr w:type="spellEnd"/>
      <w:r>
        <w:rPr>
          <w:sz w:val="21"/>
          <w:szCs w:val="21"/>
        </w:rPr>
        <w:t xml:space="preserve"> was re-elected as Chair of the Group for the next twelve months.</w:t>
      </w:r>
    </w:p>
    <w:p w:rsidR="0073631C" w:rsidRDefault="0073631C" w:rsidP="0017067B">
      <w:pPr>
        <w:pStyle w:val="ListParagraph"/>
        <w:numPr>
          <w:ilvl w:val="0"/>
          <w:numId w:val="2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 xml:space="preserve">Ben </w:t>
      </w:r>
      <w:proofErr w:type="spellStart"/>
      <w:r>
        <w:rPr>
          <w:sz w:val="21"/>
          <w:szCs w:val="21"/>
        </w:rPr>
        <w:t>Howlett</w:t>
      </w:r>
      <w:proofErr w:type="spellEnd"/>
      <w:r>
        <w:rPr>
          <w:sz w:val="21"/>
          <w:szCs w:val="21"/>
        </w:rPr>
        <w:t xml:space="preserve">, Alison </w:t>
      </w:r>
      <w:proofErr w:type="spellStart"/>
      <w:r>
        <w:rPr>
          <w:sz w:val="21"/>
          <w:szCs w:val="21"/>
        </w:rPr>
        <w:t>Thewliss</w:t>
      </w:r>
      <w:proofErr w:type="spellEnd"/>
      <w:r>
        <w:rPr>
          <w:sz w:val="21"/>
          <w:szCs w:val="21"/>
        </w:rPr>
        <w:t>, Caroline Lucas and Jo Stevens were all re-nominated, and re-electe</w:t>
      </w:r>
      <w:r w:rsidR="0017067B">
        <w:rPr>
          <w:sz w:val="21"/>
          <w:szCs w:val="21"/>
        </w:rPr>
        <w:t>d</w:t>
      </w:r>
      <w:r w:rsidR="00052AD6">
        <w:rPr>
          <w:sz w:val="21"/>
          <w:szCs w:val="21"/>
        </w:rPr>
        <w:t>,</w:t>
      </w:r>
      <w:r w:rsidR="0017067B">
        <w:rPr>
          <w:sz w:val="21"/>
          <w:szCs w:val="21"/>
        </w:rPr>
        <w:t xml:space="preserve"> as Vice Chairs of the Group</w:t>
      </w:r>
      <w:r>
        <w:rPr>
          <w:sz w:val="21"/>
          <w:szCs w:val="21"/>
        </w:rPr>
        <w:t>.</w:t>
      </w:r>
      <w:r w:rsidR="0017067B">
        <w:rPr>
          <w:sz w:val="21"/>
          <w:szCs w:val="21"/>
        </w:rPr>
        <w:t xml:space="preserve"> The Group therefore meets the rules on Officers of APPGs.</w:t>
      </w:r>
    </w:p>
    <w:p w:rsidR="0073631C" w:rsidRDefault="0073631C" w:rsidP="0017067B">
      <w:pPr>
        <w:pStyle w:val="ListParagraph"/>
        <w:numPr>
          <w:ilvl w:val="0"/>
          <w:numId w:val="2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 xml:space="preserve">Baroness Sharp, a Vice Chair of the Group since 2014, declined to stand for re-election owing to her imminent retirement from the House of Lords. As Chair of the Group, Paul </w:t>
      </w:r>
      <w:proofErr w:type="spellStart"/>
      <w:r>
        <w:rPr>
          <w:sz w:val="21"/>
          <w:szCs w:val="21"/>
        </w:rPr>
        <w:t>Blomfield</w:t>
      </w:r>
      <w:proofErr w:type="spellEnd"/>
      <w:r>
        <w:rPr>
          <w:sz w:val="21"/>
          <w:szCs w:val="21"/>
        </w:rPr>
        <w:t xml:space="preserve"> put on record his thanks to her for her service to the Group and to students.</w:t>
      </w:r>
    </w:p>
    <w:p w:rsidR="0073631C" w:rsidRDefault="0073631C" w:rsidP="0017067B">
      <w:pPr>
        <w:pStyle w:val="ListParagraph"/>
        <w:numPr>
          <w:ilvl w:val="0"/>
          <w:numId w:val="2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 National Union of Students were formally confirmed to continue as the Group’s secretariat.</w:t>
      </w:r>
    </w:p>
    <w:p w:rsidR="0017067B" w:rsidRDefault="0017067B" w:rsidP="0017067B">
      <w:pPr>
        <w:pStyle w:val="ListParagraph"/>
        <w:numPr>
          <w:ilvl w:val="0"/>
          <w:numId w:val="2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These results will be reported to the relevant authorities in the usual way.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</w:p>
    <w:p w:rsidR="0073631C" w:rsidRDefault="0073631C" w:rsidP="0073631C">
      <w:pPr>
        <w:pStyle w:val="ListParagraph"/>
        <w:ind w:left="-851" w:right="-755"/>
        <w:rPr>
          <w:b/>
          <w:sz w:val="21"/>
          <w:szCs w:val="21"/>
        </w:rPr>
      </w:pPr>
      <w:r>
        <w:rPr>
          <w:b/>
          <w:sz w:val="21"/>
          <w:szCs w:val="21"/>
        </w:rPr>
        <w:t>Future business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>The members proceeded to discuss potential topics for the Group’s future work programme.</w:t>
      </w: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</w:p>
    <w:p w:rsidR="0073631C" w:rsidRDefault="0073631C" w:rsidP="0073631C">
      <w:pPr>
        <w:pStyle w:val="ListParagraph"/>
        <w:ind w:left="-851" w:right="-755"/>
        <w:rPr>
          <w:sz w:val="21"/>
          <w:szCs w:val="21"/>
        </w:rPr>
      </w:pPr>
      <w:r>
        <w:rPr>
          <w:sz w:val="21"/>
          <w:szCs w:val="21"/>
        </w:rPr>
        <w:t xml:space="preserve">Chair Paul </w:t>
      </w:r>
      <w:proofErr w:type="spellStart"/>
      <w:r>
        <w:rPr>
          <w:sz w:val="21"/>
          <w:szCs w:val="21"/>
        </w:rPr>
        <w:t>Blomfield</w:t>
      </w:r>
      <w:proofErr w:type="spellEnd"/>
      <w:r>
        <w:rPr>
          <w:sz w:val="21"/>
          <w:szCs w:val="21"/>
        </w:rPr>
        <w:t xml:space="preserve"> suggested a number of topics, including:</w:t>
      </w:r>
    </w:p>
    <w:p w:rsidR="0073631C" w:rsidRDefault="0073631C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 implications of the EU referendum result for students</w:t>
      </w:r>
    </w:p>
    <w:p w:rsidR="0073631C" w:rsidRDefault="0073631C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 decline of part-time and mature student numbers</w:t>
      </w:r>
    </w:p>
    <w:p w:rsidR="0073631C" w:rsidRDefault="0073631C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 taskforce on sexual harassment, violence and hate crime against students, which is due to publish a report later this year</w:t>
      </w:r>
    </w:p>
    <w:p w:rsidR="0073631C" w:rsidRDefault="0073631C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Democratic participation of, and disillusionment amongst, young people</w:t>
      </w:r>
    </w:p>
    <w:p w:rsidR="0073631C" w:rsidRDefault="0017067B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The accessibility of education for refugees and asylum seekers, possibly as a joint event</w:t>
      </w:r>
    </w:p>
    <w:p w:rsidR="0017067B" w:rsidRDefault="0017067B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Issues facing further education</w:t>
      </w:r>
    </w:p>
    <w:p w:rsidR="0017067B" w:rsidRDefault="0017067B" w:rsidP="0073631C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Widening access and participation</w:t>
      </w:r>
    </w:p>
    <w:p w:rsidR="0017067B" w:rsidRDefault="0017067B" w:rsidP="0017067B">
      <w:pPr>
        <w:ind w:left="-709" w:right="-755"/>
        <w:rPr>
          <w:sz w:val="21"/>
          <w:szCs w:val="21"/>
        </w:rPr>
      </w:pPr>
    </w:p>
    <w:p w:rsidR="0017067B" w:rsidRDefault="0017067B" w:rsidP="0017067B">
      <w:pPr>
        <w:ind w:left="-851" w:right="-755"/>
        <w:rPr>
          <w:sz w:val="21"/>
          <w:szCs w:val="21"/>
        </w:rPr>
      </w:pPr>
      <w:r>
        <w:rPr>
          <w:sz w:val="21"/>
          <w:szCs w:val="21"/>
        </w:rPr>
        <w:t xml:space="preserve">Comments from other members supported these lines of thought. </w:t>
      </w:r>
    </w:p>
    <w:p w:rsidR="0017067B" w:rsidRDefault="0017067B" w:rsidP="0017067B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 w:rsidRPr="0017067B">
        <w:rPr>
          <w:sz w:val="21"/>
          <w:szCs w:val="21"/>
        </w:rPr>
        <w:t>In particular, the implications of Brexit were identified as an urgent issue for students – and it was suggested that there are many strands that could be explored (for HE students, for FE students, for international students, for students involved in research).</w:t>
      </w:r>
    </w:p>
    <w:p w:rsidR="0017067B" w:rsidRDefault="0017067B" w:rsidP="0017067B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Mental health was also raised as an issue and the meeting of the Group in December on student mental health was highlighted as a way in which the Group had previously explored this.</w:t>
      </w:r>
    </w:p>
    <w:p w:rsidR="0017067B" w:rsidRDefault="0017067B" w:rsidP="0017067B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>
        <w:rPr>
          <w:sz w:val="21"/>
          <w:szCs w:val="21"/>
        </w:rPr>
        <w:t>Access and participation was raised as a big area of interest, especially in respect of the focus of the Government’s current higher education reforms.</w:t>
      </w:r>
    </w:p>
    <w:p w:rsidR="0017067B" w:rsidRDefault="0017067B" w:rsidP="0017067B">
      <w:pPr>
        <w:ind w:right="-755"/>
        <w:rPr>
          <w:sz w:val="21"/>
          <w:szCs w:val="21"/>
        </w:rPr>
      </w:pPr>
    </w:p>
    <w:p w:rsidR="0017067B" w:rsidRDefault="0017067B" w:rsidP="0017067B">
      <w:pPr>
        <w:ind w:left="-851" w:right="-755"/>
        <w:rPr>
          <w:sz w:val="21"/>
          <w:szCs w:val="21"/>
        </w:rPr>
      </w:pPr>
      <w:r>
        <w:rPr>
          <w:sz w:val="21"/>
          <w:szCs w:val="21"/>
        </w:rPr>
        <w:t>The Group resolved to hold its first three meetings of this parliamentary session on the following topics, at especially relevant times before the end of the calendar year:</w:t>
      </w:r>
    </w:p>
    <w:p w:rsidR="008A4FA0" w:rsidRDefault="008A4FA0" w:rsidP="008A4FA0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 w:rsidRPr="0017067B">
        <w:rPr>
          <w:b/>
          <w:sz w:val="21"/>
          <w:szCs w:val="21"/>
        </w:rPr>
        <w:t>Widening access and participation</w:t>
      </w:r>
      <w:r>
        <w:rPr>
          <w:sz w:val="21"/>
          <w:szCs w:val="21"/>
        </w:rPr>
        <w:t xml:space="preserve"> – to coincide with Committee stage of the Higher Education and Research Bill</w:t>
      </w:r>
    </w:p>
    <w:p w:rsidR="0017067B" w:rsidRDefault="0017067B" w:rsidP="0017067B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 w:rsidRPr="0017067B">
        <w:rPr>
          <w:b/>
          <w:sz w:val="21"/>
          <w:szCs w:val="21"/>
        </w:rPr>
        <w:t>The impact of Brexit on students</w:t>
      </w:r>
      <w:r>
        <w:rPr>
          <w:sz w:val="21"/>
          <w:szCs w:val="21"/>
        </w:rPr>
        <w:t xml:space="preserve"> – as soon as possible</w:t>
      </w:r>
    </w:p>
    <w:p w:rsidR="0017067B" w:rsidRDefault="0017067B" w:rsidP="0017067B">
      <w:pPr>
        <w:pStyle w:val="ListParagraph"/>
        <w:numPr>
          <w:ilvl w:val="0"/>
          <w:numId w:val="1"/>
        </w:numPr>
        <w:ind w:right="-755" w:hanging="218"/>
        <w:rPr>
          <w:sz w:val="21"/>
          <w:szCs w:val="21"/>
        </w:rPr>
      </w:pPr>
      <w:r w:rsidRPr="0017067B">
        <w:rPr>
          <w:b/>
          <w:sz w:val="21"/>
          <w:szCs w:val="21"/>
        </w:rPr>
        <w:t>Sexual</w:t>
      </w:r>
      <w:r>
        <w:rPr>
          <w:sz w:val="21"/>
          <w:szCs w:val="21"/>
        </w:rPr>
        <w:t xml:space="preserve"> </w:t>
      </w:r>
      <w:r w:rsidRPr="0017067B">
        <w:rPr>
          <w:b/>
          <w:sz w:val="21"/>
          <w:szCs w:val="21"/>
        </w:rPr>
        <w:t>harassment and hate crime</w:t>
      </w:r>
      <w:r>
        <w:rPr>
          <w:sz w:val="21"/>
          <w:szCs w:val="21"/>
        </w:rPr>
        <w:t xml:space="preserve"> – to be held after the taskforce reports in autumn</w:t>
      </w:r>
    </w:p>
    <w:p w:rsidR="0017067B" w:rsidRDefault="0017067B" w:rsidP="0017067B">
      <w:pPr>
        <w:ind w:right="-755"/>
        <w:rPr>
          <w:sz w:val="21"/>
          <w:szCs w:val="21"/>
        </w:rPr>
      </w:pPr>
    </w:p>
    <w:p w:rsidR="0073631C" w:rsidRPr="0017067B" w:rsidRDefault="0017067B" w:rsidP="0017067B">
      <w:pPr>
        <w:ind w:left="-851" w:right="-755"/>
        <w:rPr>
          <w:sz w:val="21"/>
          <w:szCs w:val="21"/>
        </w:rPr>
      </w:pPr>
      <w:r>
        <w:rPr>
          <w:sz w:val="21"/>
          <w:szCs w:val="21"/>
        </w:rPr>
        <w:t>The Group resolved to consider the work programme for the remainder of this parliamentary session (from January 2017 onwards) after these three meetings had been finalised and held.</w:t>
      </w:r>
    </w:p>
    <w:p w:rsidR="0052659B" w:rsidRDefault="0052659B"/>
    <w:sectPr w:rsidR="0052659B" w:rsidSect="00097336">
      <w:headerReference w:type="default" r:id="rId7"/>
      <w:footerReference w:type="default" r:id="rId8"/>
      <w:pgSz w:w="11906" w:h="16838"/>
      <w:pgMar w:top="19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7F" w:rsidRDefault="00030D7F">
      <w:r>
        <w:separator/>
      </w:r>
    </w:p>
  </w:endnote>
  <w:endnote w:type="continuationSeparator" w:id="0">
    <w:p w:rsidR="00030D7F" w:rsidRDefault="000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E1" w:rsidRDefault="00052AD6" w:rsidP="0031781C">
    <w:pPr>
      <w:pStyle w:val="Footer"/>
      <w:tabs>
        <w:tab w:val="clear" w:pos="9026"/>
        <w:tab w:val="right" w:pos="8505"/>
      </w:tabs>
      <w:ind w:left="-851" w:right="-755"/>
      <w:jc w:val="right"/>
    </w:pPr>
    <w:r>
      <w:t xml:space="preserve">Page </w:t>
    </w:r>
    <w:sdt>
      <w:sdtPr>
        <w:id w:val="1147779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A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76CE1" w:rsidRDefault="00030D7F" w:rsidP="00776CE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7F" w:rsidRDefault="00030D7F">
      <w:r>
        <w:separator/>
      </w:r>
    </w:p>
  </w:footnote>
  <w:footnote w:type="continuationSeparator" w:id="0">
    <w:p w:rsidR="00030D7F" w:rsidRDefault="0003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57" w:rsidRDefault="00052AD6" w:rsidP="00AC028F">
    <w:pPr>
      <w:pStyle w:val="Header"/>
      <w:tabs>
        <w:tab w:val="clear" w:pos="9026"/>
      </w:tabs>
      <w:ind w:left="-567" w:right="-472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E4D261" wp14:editId="6C6792B3">
          <wp:simplePos x="0" y="0"/>
          <wp:positionH relativeFrom="column">
            <wp:posOffset>180665</wp:posOffset>
          </wp:positionH>
          <wp:positionV relativeFrom="paragraph">
            <wp:posOffset>-332149</wp:posOffset>
          </wp:positionV>
          <wp:extent cx="5276850" cy="6762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80"/>
    <w:multiLevelType w:val="hybridMultilevel"/>
    <w:tmpl w:val="358E12A8"/>
    <w:lvl w:ilvl="0" w:tplc="B316C432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3A543EE"/>
    <w:multiLevelType w:val="hybridMultilevel"/>
    <w:tmpl w:val="3C365F48"/>
    <w:lvl w:ilvl="0" w:tplc="C94632B2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C"/>
    <w:rsid w:val="00030D7F"/>
    <w:rsid w:val="00052AD6"/>
    <w:rsid w:val="000538C5"/>
    <w:rsid w:val="0010400F"/>
    <w:rsid w:val="0017067B"/>
    <w:rsid w:val="004E3E4C"/>
    <w:rsid w:val="0052659B"/>
    <w:rsid w:val="0073631C"/>
    <w:rsid w:val="008A4FA0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94718-38B6-49C1-8E0D-93F7799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1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1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36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1C"/>
    <w:rPr>
      <w:rFonts w:ascii="Verdana" w:hAnsi="Verdana"/>
      <w:sz w:val="20"/>
    </w:rPr>
  </w:style>
  <w:style w:type="character" w:styleId="Strong">
    <w:name w:val="Strong"/>
    <w:basedOn w:val="DefaultParagraphFont"/>
    <w:uiPriority w:val="22"/>
    <w:qFormat/>
    <w:rsid w:val="0073631C"/>
    <w:rPr>
      <w:b/>
      <w:bCs/>
    </w:rPr>
  </w:style>
  <w:style w:type="character" w:styleId="Emphasis">
    <w:name w:val="Emphasis"/>
    <w:basedOn w:val="DefaultParagraphFont"/>
    <w:uiPriority w:val="20"/>
    <w:qFormat/>
    <w:rsid w:val="0073631C"/>
    <w:rPr>
      <w:i/>
      <w:iCs/>
    </w:rPr>
  </w:style>
  <w:style w:type="paragraph" w:styleId="ListParagraph">
    <w:name w:val="List Paragraph"/>
    <w:basedOn w:val="Normal"/>
    <w:uiPriority w:val="34"/>
    <w:qFormat/>
    <w:rsid w:val="00736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3</cp:revision>
  <dcterms:created xsi:type="dcterms:W3CDTF">2016-07-13T12:04:00Z</dcterms:created>
  <dcterms:modified xsi:type="dcterms:W3CDTF">2016-07-27T12:12:00Z</dcterms:modified>
</cp:coreProperties>
</file>