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D250" w14:textId="77777777" w:rsidR="00936C51" w:rsidRDefault="00335617" w:rsidP="00936C51">
      <w:pPr>
        <w:pStyle w:val="Header"/>
        <w:tabs>
          <w:tab w:val="clear" w:pos="9026"/>
        </w:tabs>
        <w:ind w:left="-851" w:right="-613"/>
        <w:jc w:val="center"/>
        <w:rPr>
          <w:rStyle w:val="Strong"/>
          <w:b w:val="0"/>
        </w:rPr>
      </w:pPr>
      <w:bookmarkStart w:id="0" w:name="_GoBack"/>
      <w:bookmarkEnd w:id="0"/>
      <w:r w:rsidRPr="007E50D9">
        <w:rPr>
          <w:rStyle w:val="Emphasis"/>
          <w:b/>
          <w:color w:val="333333"/>
          <w:sz w:val="24"/>
          <w:szCs w:val="24"/>
          <w:shd w:val="clear" w:color="auto" w:fill="FFFFFF"/>
        </w:rPr>
        <w:t xml:space="preserve">Keeping opportunities open: </w:t>
      </w:r>
      <w:r>
        <w:rPr>
          <w:rStyle w:val="Emphasis"/>
          <w:b/>
          <w:color w:val="333333"/>
          <w:sz w:val="24"/>
          <w:szCs w:val="24"/>
          <w:shd w:val="clear" w:color="auto" w:fill="FFFFFF"/>
        </w:rPr>
        <w:br/>
        <w:t>A</w:t>
      </w:r>
      <w:r w:rsidRPr="007E50D9">
        <w:rPr>
          <w:rStyle w:val="Emphasis"/>
          <w:b/>
          <w:color w:val="333333"/>
          <w:sz w:val="24"/>
          <w:szCs w:val="24"/>
          <w:shd w:val="clear" w:color="auto" w:fill="FFFFFF"/>
        </w:rPr>
        <w:t>ddressing the decline in part-time and mature study</w:t>
      </w:r>
      <w:r>
        <w:rPr>
          <w:rStyle w:val="apple-converted-space"/>
          <w:color w:val="333333"/>
          <w:shd w:val="clear" w:color="auto" w:fill="FFFFFF"/>
        </w:rPr>
        <w:t> </w:t>
      </w:r>
      <w:r>
        <w:rPr>
          <w:rStyle w:val="apple-converted-space"/>
          <w:color w:val="333333"/>
          <w:shd w:val="clear" w:color="auto" w:fill="FFFFFF"/>
        </w:rPr>
        <w:br/>
      </w:r>
      <w:r>
        <w:t>Tuesday 28 March</w:t>
      </w:r>
      <w:r w:rsidRPr="006C23FF">
        <w:rPr>
          <w:rStyle w:val="Strong"/>
          <w:b w:val="0"/>
        </w:rPr>
        <w:t xml:space="preserve">; </w:t>
      </w:r>
      <w:r w:rsidR="00936C51">
        <w:rPr>
          <w:rStyle w:val="Strong"/>
          <w:b w:val="0"/>
        </w:rPr>
        <w:t xml:space="preserve">10:00-11:00; </w:t>
      </w:r>
      <w:r>
        <w:rPr>
          <w:rStyle w:val="Strong"/>
          <w:b w:val="0"/>
        </w:rPr>
        <w:t>Committee Room 18</w:t>
      </w:r>
      <w:r w:rsidRPr="006C23FF">
        <w:rPr>
          <w:rStyle w:val="Strong"/>
          <w:b w:val="0"/>
        </w:rPr>
        <w:t>, House of Commons, Westminster, SW1A 0AA</w:t>
      </w:r>
    </w:p>
    <w:p w14:paraId="0E500CD3" w14:textId="77777777" w:rsidR="00936C51" w:rsidRPr="00936C51" w:rsidRDefault="00936C51" w:rsidP="00936C51">
      <w:pPr>
        <w:pStyle w:val="Header"/>
        <w:tabs>
          <w:tab w:val="clear" w:pos="9026"/>
        </w:tabs>
        <w:ind w:right="-613"/>
        <w:rPr>
          <w:b/>
          <w:lang w:val="en-GB"/>
        </w:rPr>
      </w:pPr>
    </w:p>
    <w:p w14:paraId="3008B240" w14:textId="5F73DF89" w:rsidR="00A27374" w:rsidRPr="00EA63F7" w:rsidRDefault="00936C51" w:rsidP="00EA63F7">
      <w:pPr>
        <w:pStyle w:val="Header"/>
        <w:tabs>
          <w:tab w:val="clear" w:pos="9026"/>
        </w:tabs>
        <w:ind w:left="-851" w:right="-613"/>
        <w:rPr>
          <w:lang w:val="en-GB"/>
        </w:rPr>
      </w:pPr>
      <w:r>
        <w:rPr>
          <w:lang w:val="en-GB"/>
        </w:rPr>
        <w:t>The APPG met to discuss</w:t>
      </w:r>
      <w:r w:rsidR="00BE0A34">
        <w:rPr>
          <w:lang w:val="en-GB"/>
        </w:rPr>
        <w:t xml:space="preserve"> the decline</w:t>
      </w:r>
      <w:r w:rsidR="00A31328">
        <w:rPr>
          <w:lang w:val="en-GB"/>
        </w:rPr>
        <w:t xml:space="preserve"> in numbers</w:t>
      </w:r>
      <w:r w:rsidR="00BE0A34">
        <w:rPr>
          <w:lang w:val="en-GB"/>
        </w:rPr>
        <w:t xml:space="preserve"> o</w:t>
      </w:r>
      <w:r w:rsidR="00EA63F7">
        <w:rPr>
          <w:lang w:val="en-GB"/>
        </w:rPr>
        <w:t xml:space="preserve">f part-time and mature students. </w:t>
      </w:r>
      <w:r>
        <w:t>The meeting was attended by parliamentarians, students’ union officers, and</w:t>
      </w:r>
      <w:r w:rsidRPr="00A33FD7">
        <w:t xml:space="preserve"> organisations </w:t>
      </w:r>
      <w:r w:rsidR="00A27374">
        <w:t xml:space="preserve">and academics </w:t>
      </w:r>
      <w:r w:rsidR="00D57D80">
        <w:rPr>
          <w:lang w:val="en-GB"/>
        </w:rPr>
        <w:t xml:space="preserve">with interest </w:t>
      </w:r>
      <w:r w:rsidR="00EA63F7">
        <w:rPr>
          <w:lang w:val="en-GB"/>
        </w:rPr>
        <w:t xml:space="preserve">in the higher education </w:t>
      </w:r>
      <w:r w:rsidR="00377420">
        <w:rPr>
          <w:lang w:val="en-GB"/>
        </w:rPr>
        <w:t>sector</w:t>
      </w:r>
      <w:r w:rsidR="00EA63F7">
        <w:rPr>
          <w:lang w:val="en-GB"/>
        </w:rPr>
        <w:t>.</w:t>
      </w:r>
      <w:r w:rsidR="00A27374">
        <w:t xml:space="preserve"> </w:t>
      </w:r>
    </w:p>
    <w:p w14:paraId="58AB128C" w14:textId="77777777" w:rsidR="00B94472" w:rsidRDefault="00B94472" w:rsidP="00936C51">
      <w:pPr>
        <w:pStyle w:val="Header"/>
        <w:tabs>
          <w:tab w:val="clear" w:pos="9026"/>
        </w:tabs>
        <w:ind w:left="-851" w:right="-613"/>
      </w:pPr>
    </w:p>
    <w:p w14:paraId="35F361C5" w14:textId="3B4A2C70" w:rsidR="00B94472" w:rsidRDefault="00B94472" w:rsidP="00936C51">
      <w:pPr>
        <w:pStyle w:val="Header"/>
        <w:tabs>
          <w:tab w:val="clear" w:pos="9026"/>
        </w:tabs>
        <w:ind w:left="-851" w:right="-613"/>
        <w:rPr>
          <w:lang w:val="en-GB"/>
        </w:rPr>
      </w:pPr>
      <w:r>
        <w:t>Jonathan Waller, Director of Information and Analysis</w:t>
      </w:r>
      <w:r>
        <w:rPr>
          <w:lang w:val="en-GB"/>
        </w:rPr>
        <w:t xml:space="preserve"> at the</w:t>
      </w:r>
      <w:r>
        <w:t xml:space="preserve"> Higher Education Statistics Agency (HESA), </w:t>
      </w:r>
      <w:r>
        <w:rPr>
          <w:lang w:val="en-GB"/>
        </w:rPr>
        <w:t>opened the meeting</w:t>
      </w:r>
      <w:r w:rsidR="00A31328">
        <w:rPr>
          <w:lang w:val="en-GB"/>
        </w:rPr>
        <w:t xml:space="preserve"> with an outline of key figures about the decline in part-time and mature study, including examining differences across the nations. Jonathan went on to summarise recent research in the area</w:t>
      </w:r>
      <w:r w:rsidR="00B1462D">
        <w:rPr>
          <w:rStyle w:val="FootnoteReference"/>
          <w:lang w:val="en-GB"/>
        </w:rPr>
        <w:footnoteReference w:id="1"/>
      </w:r>
      <w:r w:rsidR="00A31328">
        <w:rPr>
          <w:lang w:val="en-GB"/>
        </w:rPr>
        <w:t xml:space="preserve"> that </w:t>
      </w:r>
      <w:r w:rsidR="00B1462D">
        <w:rPr>
          <w:lang w:val="en-GB"/>
        </w:rPr>
        <w:t xml:space="preserve">attempts to explain the decline. </w:t>
      </w:r>
      <w:r w:rsidR="00DC46DB">
        <w:rPr>
          <w:lang w:val="en-GB"/>
        </w:rPr>
        <w:t xml:space="preserve">Possible explanations included the economic downturn and austerity, a reduction in employer support for part-time study, changes to fees, and increasing Higher Education participation rates at younger ages. Specifically in England, changes to eligibility for financial support, loans, and funding are likely to have contributed to the decline. </w:t>
      </w:r>
    </w:p>
    <w:p w14:paraId="4B789F4B" w14:textId="77777777" w:rsidR="002B495A" w:rsidRDefault="002B495A" w:rsidP="00936C51">
      <w:pPr>
        <w:pStyle w:val="Header"/>
        <w:tabs>
          <w:tab w:val="clear" w:pos="9026"/>
        </w:tabs>
        <w:ind w:left="-851" w:right="-613"/>
        <w:rPr>
          <w:lang w:val="en-GB"/>
        </w:rPr>
      </w:pPr>
    </w:p>
    <w:p w14:paraId="3417CF0F" w14:textId="318424A9" w:rsidR="002B495A" w:rsidRDefault="002B495A" w:rsidP="00936C51">
      <w:pPr>
        <w:pStyle w:val="Header"/>
        <w:tabs>
          <w:tab w:val="clear" w:pos="9026"/>
        </w:tabs>
        <w:ind w:left="-851" w:right="-613"/>
        <w:rPr>
          <w:lang w:val="en-GB"/>
        </w:rPr>
      </w:pPr>
      <w:r>
        <w:rPr>
          <w:lang w:val="en-GB"/>
        </w:rPr>
        <w:t xml:space="preserve">Hana Faber from Birkbeck Student Union outlined her findings from asking students at Birkbeck why part-time and mature study might be difficult. She spoke </w:t>
      </w:r>
      <w:r w:rsidR="00631F91">
        <w:rPr>
          <w:lang w:val="en-GB"/>
        </w:rPr>
        <w:t>about how students have concerns over</w:t>
      </w:r>
      <w:r>
        <w:rPr>
          <w:lang w:val="en-GB"/>
        </w:rPr>
        <w:t xml:space="preserve"> affordability and ‘being time poor’</w:t>
      </w:r>
      <w:r w:rsidR="00631F91">
        <w:rPr>
          <w:lang w:val="en-GB"/>
        </w:rPr>
        <w:t>. A lack of available advice and being</w:t>
      </w:r>
      <w:r>
        <w:rPr>
          <w:lang w:val="en-GB"/>
        </w:rPr>
        <w:t xml:space="preserve"> unsure what to expect from the course</w:t>
      </w:r>
      <w:r w:rsidR="00631F91">
        <w:rPr>
          <w:lang w:val="en-GB"/>
        </w:rPr>
        <w:t xml:space="preserve"> were also cited as causes for the lack of popularity of part-time and mature study. </w:t>
      </w:r>
      <w:r>
        <w:rPr>
          <w:lang w:val="en-GB"/>
        </w:rPr>
        <w:t xml:space="preserve"> </w:t>
      </w:r>
    </w:p>
    <w:p w14:paraId="357F3D0A" w14:textId="77777777" w:rsidR="00631F91" w:rsidRDefault="00631F91" w:rsidP="00936C51">
      <w:pPr>
        <w:pStyle w:val="Header"/>
        <w:tabs>
          <w:tab w:val="clear" w:pos="9026"/>
        </w:tabs>
        <w:ind w:left="-851" w:right="-613"/>
        <w:rPr>
          <w:lang w:val="en-GB"/>
        </w:rPr>
      </w:pPr>
    </w:p>
    <w:p w14:paraId="25122B96" w14:textId="1DEC3146" w:rsidR="00B94472" w:rsidRDefault="00C16B2A" w:rsidP="006E388D">
      <w:pPr>
        <w:pStyle w:val="Header"/>
        <w:tabs>
          <w:tab w:val="clear" w:pos="9026"/>
        </w:tabs>
        <w:ind w:left="-851" w:right="-613"/>
        <w:rPr>
          <w:lang w:val="en-GB"/>
        </w:rPr>
      </w:pPr>
      <w:r>
        <w:rPr>
          <w:lang w:val="en-GB"/>
        </w:rPr>
        <w:t>Nicola Simpson, Acting President at the Open University Student Association, spoke about who part-time and distance learners are</w:t>
      </w:r>
      <w:r w:rsidR="007F57EB">
        <w:rPr>
          <w:lang w:val="en-GB"/>
        </w:rPr>
        <w:t xml:space="preserve">, with many Open University students finding distance learning their preferred model </w:t>
      </w:r>
      <w:r w:rsidR="00BE0EEA">
        <w:rPr>
          <w:lang w:val="en-GB"/>
        </w:rPr>
        <w:t xml:space="preserve">of learning </w:t>
      </w:r>
      <w:r w:rsidR="007F57EB">
        <w:rPr>
          <w:lang w:val="en-GB"/>
        </w:rPr>
        <w:t>due to work, caring responsibilities, health problems or disabilities.</w:t>
      </w:r>
      <w:r w:rsidR="00BE0EEA">
        <w:rPr>
          <w:lang w:val="en-GB"/>
        </w:rPr>
        <w:t xml:space="preserve"> Nicola spoke about the main barriers for those considering higher education</w:t>
      </w:r>
      <w:r w:rsidR="005456F0">
        <w:rPr>
          <w:lang w:val="en-GB"/>
        </w:rPr>
        <w:t>, with f</w:t>
      </w:r>
      <w:r w:rsidR="00BE0EEA">
        <w:rPr>
          <w:lang w:val="en-GB"/>
        </w:rPr>
        <w:t>inancial barriers</w:t>
      </w:r>
      <w:r w:rsidR="005456F0">
        <w:rPr>
          <w:lang w:val="en-GB"/>
        </w:rPr>
        <w:t xml:space="preserve"> including</w:t>
      </w:r>
      <w:r w:rsidR="00BE0EEA">
        <w:rPr>
          <w:lang w:val="en-GB"/>
        </w:rPr>
        <w:t xml:space="preserve"> </w:t>
      </w:r>
      <w:r w:rsidR="005456F0">
        <w:rPr>
          <w:lang w:val="en-GB"/>
        </w:rPr>
        <w:t>simply not being able to</w:t>
      </w:r>
      <w:r w:rsidR="00BE0EEA">
        <w:rPr>
          <w:lang w:val="en-GB"/>
        </w:rPr>
        <w:t xml:space="preserve"> afford to study, lack of access to financial support from</w:t>
      </w:r>
      <w:r w:rsidR="005456F0">
        <w:rPr>
          <w:lang w:val="en-GB"/>
        </w:rPr>
        <w:t xml:space="preserve"> Government or employers, or not recognising the value of the investment in higher education. Other barriers include practical difficulties such as geography and juggling commitments, and informational barriers due to a lack of information about part-time higher education and the financial support available. </w:t>
      </w:r>
      <w:r w:rsidR="006E388D">
        <w:rPr>
          <w:lang w:val="en-GB"/>
        </w:rPr>
        <w:t>Nicola argued that to combat the decline in part-time study, increased financial support and recognition of the importance of lifelong learning is necessary.</w:t>
      </w:r>
    </w:p>
    <w:p w14:paraId="2C347D11" w14:textId="77777777" w:rsidR="006E388D" w:rsidRDefault="006E388D" w:rsidP="006E388D">
      <w:pPr>
        <w:pStyle w:val="Header"/>
        <w:tabs>
          <w:tab w:val="clear" w:pos="9026"/>
        </w:tabs>
        <w:ind w:left="-851" w:right="-613"/>
        <w:rPr>
          <w:lang w:val="en-GB"/>
        </w:rPr>
      </w:pPr>
    </w:p>
    <w:p w14:paraId="0B72817E" w14:textId="77777777" w:rsidR="006E7862" w:rsidRDefault="006E388D" w:rsidP="006E388D">
      <w:pPr>
        <w:pStyle w:val="Header"/>
        <w:tabs>
          <w:tab w:val="clear" w:pos="9026"/>
        </w:tabs>
        <w:ind w:left="-851" w:right="-613"/>
        <w:rPr>
          <w:lang w:val="en-GB"/>
        </w:rPr>
      </w:pPr>
      <w:r>
        <w:rPr>
          <w:lang w:val="en-GB"/>
        </w:rPr>
        <w:t>In comments from the floor, attendees discussed</w:t>
      </w:r>
      <w:r w:rsidR="006E7862">
        <w:rPr>
          <w:lang w:val="en-GB"/>
        </w:rPr>
        <w:t>:</w:t>
      </w:r>
    </w:p>
    <w:p w14:paraId="74AECF50" w14:textId="72436570" w:rsidR="006E388D" w:rsidRDefault="006E7862" w:rsidP="006E7862">
      <w:pPr>
        <w:pStyle w:val="Header"/>
        <w:numPr>
          <w:ilvl w:val="0"/>
          <w:numId w:val="6"/>
        </w:numPr>
        <w:tabs>
          <w:tab w:val="clear" w:pos="9026"/>
        </w:tabs>
        <w:ind w:right="-613"/>
        <w:rPr>
          <w:lang w:val="en-GB"/>
        </w:rPr>
      </w:pPr>
      <w:r>
        <w:rPr>
          <w:lang w:val="en-GB"/>
        </w:rPr>
        <w:t>F</w:t>
      </w:r>
      <w:r w:rsidR="006E388D">
        <w:rPr>
          <w:lang w:val="en-GB"/>
        </w:rPr>
        <w:t>unding differences betwee</w:t>
      </w:r>
      <w:r>
        <w:rPr>
          <w:lang w:val="en-GB"/>
        </w:rPr>
        <w:t>n full-time and part-time study</w:t>
      </w:r>
    </w:p>
    <w:p w14:paraId="0C2B4003" w14:textId="1162FE4C" w:rsidR="006E7862" w:rsidRDefault="006E7862" w:rsidP="006E7862">
      <w:pPr>
        <w:pStyle w:val="Header"/>
        <w:numPr>
          <w:ilvl w:val="0"/>
          <w:numId w:val="6"/>
        </w:numPr>
        <w:tabs>
          <w:tab w:val="clear" w:pos="9026"/>
        </w:tabs>
        <w:ind w:right="-613"/>
        <w:rPr>
          <w:lang w:val="en-GB"/>
        </w:rPr>
      </w:pPr>
      <w:r>
        <w:rPr>
          <w:lang w:val="en-GB"/>
        </w:rPr>
        <w:t>The risks of ‘investing in yourself’</w:t>
      </w:r>
    </w:p>
    <w:p w14:paraId="1DC25944" w14:textId="5CA042B0" w:rsidR="006E7862" w:rsidRDefault="006E7862" w:rsidP="006E7862">
      <w:pPr>
        <w:pStyle w:val="Header"/>
        <w:numPr>
          <w:ilvl w:val="0"/>
          <w:numId w:val="6"/>
        </w:numPr>
        <w:tabs>
          <w:tab w:val="clear" w:pos="9026"/>
        </w:tabs>
        <w:ind w:right="-613"/>
        <w:rPr>
          <w:lang w:val="en-GB"/>
        </w:rPr>
      </w:pPr>
      <w:r>
        <w:rPr>
          <w:lang w:val="en-GB"/>
        </w:rPr>
        <w:t>EU trends in part-time and mature study</w:t>
      </w:r>
    </w:p>
    <w:p w14:paraId="1B8BC8BA" w14:textId="153CF625" w:rsidR="006E7862" w:rsidRDefault="006E7862" w:rsidP="006E7862">
      <w:pPr>
        <w:pStyle w:val="Header"/>
        <w:numPr>
          <w:ilvl w:val="0"/>
          <w:numId w:val="6"/>
        </w:numPr>
        <w:tabs>
          <w:tab w:val="clear" w:pos="9026"/>
        </w:tabs>
        <w:ind w:right="-613"/>
        <w:rPr>
          <w:lang w:val="en-GB"/>
        </w:rPr>
      </w:pPr>
      <w:r>
        <w:rPr>
          <w:lang w:val="en-GB"/>
        </w:rPr>
        <w:t>Provisions and trends for mature medical students</w:t>
      </w:r>
    </w:p>
    <w:p w14:paraId="0B2B3FD8" w14:textId="627C2721" w:rsidR="006E7862" w:rsidRDefault="006E7862" w:rsidP="006E7862">
      <w:pPr>
        <w:pStyle w:val="Header"/>
        <w:numPr>
          <w:ilvl w:val="0"/>
          <w:numId w:val="6"/>
        </w:numPr>
        <w:tabs>
          <w:tab w:val="clear" w:pos="9026"/>
        </w:tabs>
        <w:ind w:right="-613"/>
        <w:rPr>
          <w:lang w:val="en-GB"/>
        </w:rPr>
      </w:pPr>
      <w:r>
        <w:rPr>
          <w:lang w:val="en-GB"/>
        </w:rPr>
        <w:t>Retention rates for part-time and mature students</w:t>
      </w:r>
    </w:p>
    <w:p w14:paraId="276EA196" w14:textId="77777777" w:rsidR="006E7862" w:rsidRDefault="006E7862" w:rsidP="006E7862">
      <w:pPr>
        <w:pStyle w:val="Header"/>
        <w:numPr>
          <w:ilvl w:val="0"/>
          <w:numId w:val="6"/>
        </w:numPr>
        <w:tabs>
          <w:tab w:val="clear" w:pos="9026"/>
        </w:tabs>
        <w:ind w:right="-613"/>
        <w:rPr>
          <w:lang w:val="en-GB"/>
        </w:rPr>
      </w:pPr>
      <w:r>
        <w:rPr>
          <w:lang w:val="en-GB"/>
        </w:rPr>
        <w:t>Credit transfer</w:t>
      </w:r>
    </w:p>
    <w:p w14:paraId="0DEB045E" w14:textId="77777777" w:rsidR="006E7862" w:rsidRDefault="006E7862" w:rsidP="006E7862">
      <w:pPr>
        <w:pStyle w:val="Header"/>
        <w:tabs>
          <w:tab w:val="clear" w:pos="9026"/>
        </w:tabs>
        <w:ind w:left="-420" w:right="-613"/>
        <w:rPr>
          <w:lang w:val="en-GB"/>
        </w:rPr>
      </w:pPr>
    </w:p>
    <w:p w14:paraId="500B0831" w14:textId="5A39D0BB" w:rsidR="006E7862" w:rsidRPr="006E7862" w:rsidRDefault="006E7862" w:rsidP="006E7862">
      <w:pPr>
        <w:pStyle w:val="Header"/>
        <w:tabs>
          <w:tab w:val="clear" w:pos="9026"/>
        </w:tabs>
        <w:ind w:left="-850" w:right="-613"/>
        <w:rPr>
          <w:lang w:val="en-GB"/>
        </w:rPr>
      </w:pPr>
      <w:r w:rsidRPr="006E7862">
        <w:rPr>
          <w:b/>
          <w:i/>
        </w:rPr>
        <w:t>For further information, please contact Alexander Lee, Political Affairs and Advocacy Manager, National Union of Students (</w:t>
      </w:r>
      <w:hyperlink r:id="rId8" w:history="1">
        <w:r w:rsidRPr="006E7862">
          <w:rPr>
            <w:rStyle w:val="Hyperlink"/>
            <w:b/>
            <w:i/>
          </w:rPr>
          <w:t>alexander.lee@nus.org.uk</w:t>
        </w:r>
      </w:hyperlink>
      <w:r w:rsidRPr="006E7862">
        <w:rPr>
          <w:b/>
          <w:i/>
        </w:rPr>
        <w:t xml:space="preserve">). </w:t>
      </w:r>
    </w:p>
    <w:p w14:paraId="30581732" w14:textId="77777777" w:rsidR="0052659B" w:rsidRDefault="0052659B"/>
    <w:sectPr w:rsidR="0052659B" w:rsidSect="00597E62">
      <w:headerReference w:type="default" r:id="rId9"/>
      <w:footerReference w:type="default" r:id="rId10"/>
      <w:pgSz w:w="11906" w:h="16838"/>
      <w:pgMar w:top="198"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F892" w14:textId="77777777" w:rsidR="00607943" w:rsidRDefault="00607943" w:rsidP="00335617">
      <w:r>
        <w:separator/>
      </w:r>
    </w:p>
  </w:endnote>
  <w:endnote w:type="continuationSeparator" w:id="0">
    <w:p w14:paraId="26C7D982" w14:textId="77777777" w:rsidR="00607943" w:rsidRDefault="00607943" w:rsidP="003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D5B4" w14:textId="77777777" w:rsidR="00597E62" w:rsidRDefault="00607943" w:rsidP="00597E62">
    <w:pPr>
      <w:pStyle w:val="Footer"/>
      <w:tabs>
        <w:tab w:val="clear" w:pos="9026"/>
        <w:tab w:val="left" w:pos="-709"/>
        <w:tab w:val="right" w:pos="8505"/>
        <w:tab w:val="right" w:pos="9781"/>
      </w:tabs>
      <w:ind w:left="-851" w:right="-755"/>
    </w:pPr>
  </w:p>
  <w:p w14:paraId="77EB283D" w14:textId="77777777" w:rsidR="00597E62" w:rsidRDefault="004C2613" w:rsidP="00597E62">
    <w:pPr>
      <w:pStyle w:val="Footer"/>
      <w:tabs>
        <w:tab w:val="clear" w:pos="9026"/>
        <w:tab w:val="left" w:pos="-709"/>
        <w:tab w:val="right" w:pos="8505"/>
        <w:tab w:val="right" w:pos="9781"/>
      </w:tabs>
      <w:ind w:left="-851" w:right="-755"/>
    </w:pPr>
    <w:r>
      <w:t>Follow the APPG on Twitter: @APPGStudents</w:t>
    </w:r>
    <w:r w:rsidDel="004B27CB">
      <w:t xml:space="preserve"> </w:t>
    </w:r>
    <w:r>
      <w:tab/>
    </w:r>
    <w:r>
      <w:tab/>
    </w:r>
    <w:r>
      <w:tab/>
      <w:t xml:space="preserve">Page </w:t>
    </w:r>
    <w:r>
      <w:fldChar w:fldCharType="begin"/>
    </w:r>
    <w:r>
      <w:instrText xml:space="preserve"> PAGE   \* MERGEFORMAT </w:instrText>
    </w:r>
    <w:r>
      <w:fldChar w:fldCharType="separate"/>
    </w:r>
    <w:r w:rsidR="00D10033">
      <w:rPr>
        <w:noProof/>
      </w:rPr>
      <w:t>1</w:t>
    </w:r>
    <w:r>
      <w:rPr>
        <w:noProof/>
      </w:rPr>
      <w:fldChar w:fldCharType="end"/>
    </w:r>
  </w:p>
  <w:p w14:paraId="1373A1CD" w14:textId="77777777" w:rsidR="00597E62" w:rsidRDefault="00607943" w:rsidP="00597E62">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74292" w14:textId="77777777" w:rsidR="00607943" w:rsidRDefault="00607943" w:rsidP="00335617">
      <w:r>
        <w:separator/>
      </w:r>
    </w:p>
  </w:footnote>
  <w:footnote w:type="continuationSeparator" w:id="0">
    <w:p w14:paraId="68872564" w14:textId="77777777" w:rsidR="00607943" w:rsidRDefault="00607943" w:rsidP="00335617">
      <w:r>
        <w:continuationSeparator/>
      </w:r>
    </w:p>
  </w:footnote>
  <w:footnote w:id="1">
    <w:p w14:paraId="432BA808" w14:textId="77777777" w:rsidR="00B1462D" w:rsidRPr="00A31328" w:rsidRDefault="00B1462D" w:rsidP="00B1462D">
      <w:pPr>
        <w:pStyle w:val="Header"/>
        <w:ind w:left="360" w:right="-613"/>
      </w:pPr>
      <w:r>
        <w:rPr>
          <w:rStyle w:val="FootnoteReference"/>
        </w:rPr>
        <w:footnoteRef/>
      </w:r>
      <w:r>
        <w:t xml:space="preserve"> </w:t>
      </w:r>
      <w:r w:rsidRPr="00A31328">
        <w:t xml:space="preserve">HEFCE report, ‘Pressure from all sides’: </w:t>
      </w:r>
      <w:hyperlink r:id="rId1" w:history="1">
        <w:r w:rsidRPr="00A31328">
          <w:rPr>
            <w:rStyle w:val="Hyperlink"/>
          </w:rPr>
          <w:t>http://www.hefce.ac.uk/pubs/year/2014/201408d/</w:t>
        </w:r>
      </w:hyperlink>
    </w:p>
    <w:p w14:paraId="7CDA1D5C" w14:textId="77777777" w:rsidR="00B1462D" w:rsidRPr="00A31328" w:rsidRDefault="00B1462D" w:rsidP="00B1462D">
      <w:pPr>
        <w:pStyle w:val="Header"/>
        <w:ind w:left="360" w:right="-613"/>
      </w:pPr>
      <w:r w:rsidRPr="00A31328">
        <w:t xml:space="preserve">Universities UK study: </w:t>
      </w:r>
      <w:hyperlink r:id="rId2" w:history="1">
        <w:r w:rsidRPr="00A31328">
          <w:rPr>
            <w:rStyle w:val="Hyperlink"/>
          </w:rPr>
          <w:t>http://www.universitiesuk.ac.uk/policy-and-analysis/reports/Documents/2013/power-of-part-time.pdf</w:t>
        </w:r>
      </w:hyperlink>
    </w:p>
    <w:p w14:paraId="56A5462F" w14:textId="77777777" w:rsidR="00B1462D" w:rsidRPr="00B1462D" w:rsidRDefault="00B1462D">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8B6E" w14:textId="77777777" w:rsidR="00597E62" w:rsidRDefault="00335617" w:rsidP="00597E62">
    <w:pPr>
      <w:pStyle w:val="Header"/>
      <w:tabs>
        <w:tab w:val="clear" w:pos="9026"/>
      </w:tabs>
      <w:ind w:left="-567" w:right="-472"/>
    </w:pPr>
    <w:r>
      <w:rPr>
        <w:noProof/>
        <w:lang w:val="en-GB" w:eastAsia="en-GB"/>
      </w:rPr>
      <w:drawing>
        <wp:anchor distT="0" distB="0" distL="114300" distR="114300" simplePos="0" relativeHeight="251659264" behindDoc="0" locked="0" layoutInCell="1" allowOverlap="1" wp14:anchorId="0E43E89C" wp14:editId="5E3F7300">
          <wp:simplePos x="0" y="0"/>
          <wp:positionH relativeFrom="column">
            <wp:posOffset>180975</wp:posOffset>
          </wp:positionH>
          <wp:positionV relativeFrom="paragraph">
            <wp:posOffset>-332105</wp:posOffset>
          </wp:positionV>
          <wp:extent cx="527685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4B28"/>
    <w:multiLevelType w:val="hybridMultilevel"/>
    <w:tmpl w:val="DB304252"/>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Arial"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Arial"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Arial"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2D5A1C70"/>
    <w:multiLevelType w:val="hybridMultilevel"/>
    <w:tmpl w:val="65E44D1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 w15:restartNumberingAfterBreak="0">
    <w:nsid w:val="5EAA5A0C"/>
    <w:multiLevelType w:val="hybridMultilevel"/>
    <w:tmpl w:val="A17E0528"/>
    <w:lvl w:ilvl="0" w:tplc="49B4FD82">
      <w:start w:val="1"/>
      <w:numFmt w:val="bullet"/>
      <w:lvlText w:val="•"/>
      <w:lvlJc w:val="left"/>
      <w:pPr>
        <w:tabs>
          <w:tab w:val="num" w:pos="720"/>
        </w:tabs>
        <w:ind w:left="720" w:hanging="360"/>
      </w:pPr>
      <w:rPr>
        <w:rFonts w:ascii="Arial" w:hAnsi="Arial" w:hint="default"/>
      </w:rPr>
    </w:lvl>
    <w:lvl w:ilvl="1" w:tplc="03AA04AE">
      <w:start w:val="39"/>
      <w:numFmt w:val="bullet"/>
      <w:lvlText w:val="−"/>
      <w:lvlJc w:val="left"/>
      <w:pPr>
        <w:tabs>
          <w:tab w:val="num" w:pos="1440"/>
        </w:tabs>
        <w:ind w:left="1440" w:hanging="360"/>
      </w:pPr>
      <w:rPr>
        <w:rFonts w:ascii="Arial" w:hAnsi="Arial" w:hint="default"/>
      </w:rPr>
    </w:lvl>
    <w:lvl w:ilvl="2" w:tplc="0A34CFA6" w:tentative="1">
      <w:start w:val="1"/>
      <w:numFmt w:val="bullet"/>
      <w:lvlText w:val="•"/>
      <w:lvlJc w:val="left"/>
      <w:pPr>
        <w:tabs>
          <w:tab w:val="num" w:pos="2160"/>
        </w:tabs>
        <w:ind w:left="2160" w:hanging="360"/>
      </w:pPr>
      <w:rPr>
        <w:rFonts w:ascii="Arial" w:hAnsi="Arial" w:hint="default"/>
      </w:rPr>
    </w:lvl>
    <w:lvl w:ilvl="3" w:tplc="C266364E" w:tentative="1">
      <w:start w:val="1"/>
      <w:numFmt w:val="bullet"/>
      <w:lvlText w:val="•"/>
      <w:lvlJc w:val="left"/>
      <w:pPr>
        <w:tabs>
          <w:tab w:val="num" w:pos="2880"/>
        </w:tabs>
        <w:ind w:left="2880" w:hanging="360"/>
      </w:pPr>
      <w:rPr>
        <w:rFonts w:ascii="Arial" w:hAnsi="Arial" w:hint="default"/>
      </w:rPr>
    </w:lvl>
    <w:lvl w:ilvl="4" w:tplc="D3F63D8A" w:tentative="1">
      <w:start w:val="1"/>
      <w:numFmt w:val="bullet"/>
      <w:lvlText w:val="•"/>
      <w:lvlJc w:val="left"/>
      <w:pPr>
        <w:tabs>
          <w:tab w:val="num" w:pos="3600"/>
        </w:tabs>
        <w:ind w:left="3600" w:hanging="360"/>
      </w:pPr>
      <w:rPr>
        <w:rFonts w:ascii="Arial" w:hAnsi="Arial" w:hint="default"/>
      </w:rPr>
    </w:lvl>
    <w:lvl w:ilvl="5" w:tplc="3DCC1756" w:tentative="1">
      <w:start w:val="1"/>
      <w:numFmt w:val="bullet"/>
      <w:lvlText w:val="•"/>
      <w:lvlJc w:val="left"/>
      <w:pPr>
        <w:tabs>
          <w:tab w:val="num" w:pos="4320"/>
        </w:tabs>
        <w:ind w:left="4320" w:hanging="360"/>
      </w:pPr>
      <w:rPr>
        <w:rFonts w:ascii="Arial" w:hAnsi="Arial" w:hint="default"/>
      </w:rPr>
    </w:lvl>
    <w:lvl w:ilvl="6" w:tplc="A1DACFFA" w:tentative="1">
      <w:start w:val="1"/>
      <w:numFmt w:val="bullet"/>
      <w:lvlText w:val="•"/>
      <w:lvlJc w:val="left"/>
      <w:pPr>
        <w:tabs>
          <w:tab w:val="num" w:pos="5040"/>
        </w:tabs>
        <w:ind w:left="5040" w:hanging="360"/>
      </w:pPr>
      <w:rPr>
        <w:rFonts w:ascii="Arial" w:hAnsi="Arial" w:hint="default"/>
      </w:rPr>
    </w:lvl>
    <w:lvl w:ilvl="7" w:tplc="53984EBC" w:tentative="1">
      <w:start w:val="1"/>
      <w:numFmt w:val="bullet"/>
      <w:lvlText w:val="•"/>
      <w:lvlJc w:val="left"/>
      <w:pPr>
        <w:tabs>
          <w:tab w:val="num" w:pos="5760"/>
        </w:tabs>
        <w:ind w:left="5760" w:hanging="360"/>
      </w:pPr>
      <w:rPr>
        <w:rFonts w:ascii="Arial" w:hAnsi="Arial" w:hint="default"/>
      </w:rPr>
    </w:lvl>
    <w:lvl w:ilvl="8" w:tplc="EDDEF2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A353B3"/>
    <w:multiLevelType w:val="hybridMultilevel"/>
    <w:tmpl w:val="7C74CFDC"/>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4" w15:restartNumberingAfterBreak="0">
    <w:nsid w:val="6CFA0826"/>
    <w:multiLevelType w:val="hybridMultilevel"/>
    <w:tmpl w:val="71FE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11676"/>
    <w:multiLevelType w:val="hybridMultilevel"/>
    <w:tmpl w:val="E432FAE0"/>
    <w:lvl w:ilvl="0" w:tplc="1EBED956">
      <w:start w:val="1"/>
      <w:numFmt w:val="bullet"/>
      <w:lvlText w:val="•"/>
      <w:lvlJc w:val="left"/>
      <w:pPr>
        <w:tabs>
          <w:tab w:val="num" w:pos="720"/>
        </w:tabs>
        <w:ind w:left="720" w:hanging="360"/>
      </w:pPr>
      <w:rPr>
        <w:rFonts w:ascii="Arial" w:hAnsi="Arial" w:hint="default"/>
      </w:rPr>
    </w:lvl>
    <w:lvl w:ilvl="1" w:tplc="654A5F90">
      <w:start w:val="1"/>
      <w:numFmt w:val="bullet"/>
      <w:lvlText w:val="•"/>
      <w:lvlJc w:val="left"/>
      <w:pPr>
        <w:tabs>
          <w:tab w:val="num" w:pos="1440"/>
        </w:tabs>
        <w:ind w:left="1440" w:hanging="360"/>
      </w:pPr>
      <w:rPr>
        <w:rFonts w:ascii="Arial" w:hAnsi="Arial" w:hint="default"/>
      </w:rPr>
    </w:lvl>
    <w:lvl w:ilvl="2" w:tplc="8812A5EE" w:tentative="1">
      <w:start w:val="1"/>
      <w:numFmt w:val="bullet"/>
      <w:lvlText w:val="•"/>
      <w:lvlJc w:val="left"/>
      <w:pPr>
        <w:tabs>
          <w:tab w:val="num" w:pos="2160"/>
        </w:tabs>
        <w:ind w:left="2160" w:hanging="360"/>
      </w:pPr>
      <w:rPr>
        <w:rFonts w:ascii="Arial" w:hAnsi="Arial" w:hint="default"/>
      </w:rPr>
    </w:lvl>
    <w:lvl w:ilvl="3" w:tplc="21D660EE" w:tentative="1">
      <w:start w:val="1"/>
      <w:numFmt w:val="bullet"/>
      <w:lvlText w:val="•"/>
      <w:lvlJc w:val="left"/>
      <w:pPr>
        <w:tabs>
          <w:tab w:val="num" w:pos="2880"/>
        </w:tabs>
        <w:ind w:left="2880" w:hanging="360"/>
      </w:pPr>
      <w:rPr>
        <w:rFonts w:ascii="Arial" w:hAnsi="Arial" w:hint="default"/>
      </w:rPr>
    </w:lvl>
    <w:lvl w:ilvl="4" w:tplc="20C6A808" w:tentative="1">
      <w:start w:val="1"/>
      <w:numFmt w:val="bullet"/>
      <w:lvlText w:val="•"/>
      <w:lvlJc w:val="left"/>
      <w:pPr>
        <w:tabs>
          <w:tab w:val="num" w:pos="3600"/>
        </w:tabs>
        <w:ind w:left="3600" w:hanging="360"/>
      </w:pPr>
      <w:rPr>
        <w:rFonts w:ascii="Arial" w:hAnsi="Arial" w:hint="default"/>
      </w:rPr>
    </w:lvl>
    <w:lvl w:ilvl="5" w:tplc="AA98FEB2" w:tentative="1">
      <w:start w:val="1"/>
      <w:numFmt w:val="bullet"/>
      <w:lvlText w:val="•"/>
      <w:lvlJc w:val="left"/>
      <w:pPr>
        <w:tabs>
          <w:tab w:val="num" w:pos="4320"/>
        </w:tabs>
        <w:ind w:left="4320" w:hanging="360"/>
      </w:pPr>
      <w:rPr>
        <w:rFonts w:ascii="Arial" w:hAnsi="Arial" w:hint="default"/>
      </w:rPr>
    </w:lvl>
    <w:lvl w:ilvl="6" w:tplc="88B6186C" w:tentative="1">
      <w:start w:val="1"/>
      <w:numFmt w:val="bullet"/>
      <w:lvlText w:val="•"/>
      <w:lvlJc w:val="left"/>
      <w:pPr>
        <w:tabs>
          <w:tab w:val="num" w:pos="5040"/>
        </w:tabs>
        <w:ind w:left="5040" w:hanging="360"/>
      </w:pPr>
      <w:rPr>
        <w:rFonts w:ascii="Arial" w:hAnsi="Arial" w:hint="default"/>
      </w:rPr>
    </w:lvl>
    <w:lvl w:ilvl="7" w:tplc="4C9088EA" w:tentative="1">
      <w:start w:val="1"/>
      <w:numFmt w:val="bullet"/>
      <w:lvlText w:val="•"/>
      <w:lvlJc w:val="left"/>
      <w:pPr>
        <w:tabs>
          <w:tab w:val="num" w:pos="5760"/>
        </w:tabs>
        <w:ind w:left="5760" w:hanging="360"/>
      </w:pPr>
      <w:rPr>
        <w:rFonts w:ascii="Arial" w:hAnsi="Arial" w:hint="default"/>
      </w:rPr>
    </w:lvl>
    <w:lvl w:ilvl="8" w:tplc="EE048E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17"/>
    <w:rsid w:val="000538C5"/>
    <w:rsid w:val="000755BA"/>
    <w:rsid w:val="0010400F"/>
    <w:rsid w:val="001C2D05"/>
    <w:rsid w:val="002B495A"/>
    <w:rsid w:val="00335617"/>
    <w:rsid w:val="00377420"/>
    <w:rsid w:val="004C2613"/>
    <w:rsid w:val="004E3E4C"/>
    <w:rsid w:val="0052659B"/>
    <w:rsid w:val="005456F0"/>
    <w:rsid w:val="00607943"/>
    <w:rsid w:val="00631F91"/>
    <w:rsid w:val="006E388D"/>
    <w:rsid w:val="006E7862"/>
    <w:rsid w:val="007E192D"/>
    <w:rsid w:val="007F57EB"/>
    <w:rsid w:val="00936C51"/>
    <w:rsid w:val="009F24AA"/>
    <w:rsid w:val="00A27374"/>
    <w:rsid w:val="00A31328"/>
    <w:rsid w:val="00B1462D"/>
    <w:rsid w:val="00B33F8F"/>
    <w:rsid w:val="00B94472"/>
    <w:rsid w:val="00BD7BBC"/>
    <w:rsid w:val="00BE0A34"/>
    <w:rsid w:val="00BE0EEA"/>
    <w:rsid w:val="00BF7F13"/>
    <w:rsid w:val="00C16B2A"/>
    <w:rsid w:val="00C81F5A"/>
    <w:rsid w:val="00D10033"/>
    <w:rsid w:val="00D57D80"/>
    <w:rsid w:val="00DC46DB"/>
    <w:rsid w:val="00EA08E1"/>
    <w:rsid w:val="00EA63F7"/>
    <w:rsid w:val="00F9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738F"/>
  <w15:chartTrackingRefBased/>
  <w15:docId w15:val="{8AE574F7-81E7-458C-803A-34D6F020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17"/>
    <w:pPr>
      <w:spacing w:after="0" w:line="240"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617"/>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335617"/>
    <w:rPr>
      <w:rFonts w:ascii="Verdana" w:eastAsia="Calibri" w:hAnsi="Verdana" w:cs="Times New Roman"/>
      <w:sz w:val="20"/>
      <w:szCs w:val="20"/>
      <w:lang w:val="x-none" w:eastAsia="x-none"/>
    </w:rPr>
  </w:style>
  <w:style w:type="paragraph" w:styleId="Footer">
    <w:name w:val="footer"/>
    <w:basedOn w:val="Normal"/>
    <w:link w:val="FooterChar"/>
    <w:uiPriority w:val="99"/>
    <w:unhideWhenUsed/>
    <w:rsid w:val="00335617"/>
    <w:pPr>
      <w:tabs>
        <w:tab w:val="center" w:pos="4513"/>
        <w:tab w:val="right" w:pos="9026"/>
      </w:tabs>
    </w:pPr>
    <w:rPr>
      <w:szCs w:val="20"/>
      <w:lang w:val="x-none" w:eastAsia="x-none"/>
    </w:rPr>
  </w:style>
  <w:style w:type="character" w:customStyle="1" w:styleId="FooterChar">
    <w:name w:val="Footer Char"/>
    <w:basedOn w:val="DefaultParagraphFont"/>
    <w:link w:val="Footer"/>
    <w:uiPriority w:val="99"/>
    <w:rsid w:val="00335617"/>
    <w:rPr>
      <w:rFonts w:ascii="Verdana" w:eastAsia="Calibri" w:hAnsi="Verdana" w:cs="Times New Roman"/>
      <w:sz w:val="20"/>
      <w:szCs w:val="20"/>
      <w:lang w:val="x-none" w:eastAsia="x-none"/>
    </w:rPr>
  </w:style>
  <w:style w:type="character" w:styleId="Strong">
    <w:name w:val="Strong"/>
    <w:uiPriority w:val="22"/>
    <w:qFormat/>
    <w:rsid w:val="00335617"/>
    <w:rPr>
      <w:b/>
      <w:bCs/>
    </w:rPr>
  </w:style>
  <w:style w:type="character" w:styleId="Emphasis">
    <w:name w:val="Emphasis"/>
    <w:uiPriority w:val="20"/>
    <w:qFormat/>
    <w:rsid w:val="00335617"/>
    <w:rPr>
      <w:i/>
      <w:iCs/>
    </w:rPr>
  </w:style>
  <w:style w:type="character" w:styleId="Hyperlink">
    <w:name w:val="Hyperlink"/>
    <w:uiPriority w:val="99"/>
    <w:unhideWhenUsed/>
    <w:rsid w:val="00335617"/>
    <w:rPr>
      <w:color w:val="0563C1"/>
      <w:u w:val="single"/>
    </w:rPr>
  </w:style>
  <w:style w:type="paragraph" w:styleId="FootnoteText">
    <w:name w:val="footnote text"/>
    <w:basedOn w:val="Normal"/>
    <w:link w:val="FootnoteTextChar"/>
    <w:uiPriority w:val="99"/>
    <w:semiHidden/>
    <w:unhideWhenUsed/>
    <w:rsid w:val="00335617"/>
    <w:rPr>
      <w:szCs w:val="20"/>
      <w:lang w:val="x-none" w:eastAsia="x-none"/>
    </w:rPr>
  </w:style>
  <w:style w:type="character" w:customStyle="1" w:styleId="FootnoteTextChar">
    <w:name w:val="Footnote Text Char"/>
    <w:basedOn w:val="DefaultParagraphFont"/>
    <w:link w:val="FootnoteText"/>
    <w:uiPriority w:val="99"/>
    <w:semiHidden/>
    <w:rsid w:val="00335617"/>
    <w:rPr>
      <w:rFonts w:ascii="Verdana" w:eastAsia="Calibri" w:hAnsi="Verdana" w:cs="Times New Roman"/>
      <w:sz w:val="20"/>
      <w:szCs w:val="20"/>
      <w:lang w:val="x-none" w:eastAsia="x-none"/>
    </w:rPr>
  </w:style>
  <w:style w:type="character" w:styleId="FootnoteReference">
    <w:name w:val="footnote reference"/>
    <w:uiPriority w:val="99"/>
    <w:semiHidden/>
    <w:unhideWhenUsed/>
    <w:rsid w:val="00335617"/>
    <w:rPr>
      <w:vertAlign w:val="superscript"/>
    </w:rPr>
  </w:style>
  <w:style w:type="character" w:customStyle="1" w:styleId="apple-converted-space">
    <w:name w:val="apple-converted-space"/>
    <w:basedOn w:val="DefaultParagraphFont"/>
    <w:rsid w:val="00335617"/>
  </w:style>
  <w:style w:type="character" w:styleId="CommentReference">
    <w:name w:val="annotation reference"/>
    <w:basedOn w:val="DefaultParagraphFont"/>
    <w:uiPriority w:val="99"/>
    <w:semiHidden/>
    <w:unhideWhenUsed/>
    <w:rsid w:val="00335617"/>
    <w:rPr>
      <w:sz w:val="16"/>
      <w:szCs w:val="16"/>
    </w:rPr>
  </w:style>
  <w:style w:type="paragraph" w:styleId="CommentText">
    <w:name w:val="annotation text"/>
    <w:basedOn w:val="Normal"/>
    <w:link w:val="CommentTextChar"/>
    <w:uiPriority w:val="99"/>
    <w:semiHidden/>
    <w:unhideWhenUsed/>
    <w:rsid w:val="00335617"/>
    <w:rPr>
      <w:szCs w:val="20"/>
    </w:rPr>
  </w:style>
  <w:style w:type="character" w:customStyle="1" w:styleId="CommentTextChar">
    <w:name w:val="Comment Text Char"/>
    <w:basedOn w:val="DefaultParagraphFont"/>
    <w:link w:val="CommentText"/>
    <w:uiPriority w:val="99"/>
    <w:semiHidden/>
    <w:rsid w:val="00335617"/>
    <w:rPr>
      <w:rFonts w:ascii="Verdana" w:eastAsia="Calibri" w:hAnsi="Verdana" w:cs="Times New Roman"/>
      <w:sz w:val="20"/>
      <w:szCs w:val="20"/>
    </w:rPr>
  </w:style>
  <w:style w:type="paragraph" w:styleId="BalloonText">
    <w:name w:val="Balloon Text"/>
    <w:basedOn w:val="Normal"/>
    <w:link w:val="BalloonTextChar"/>
    <w:uiPriority w:val="99"/>
    <w:semiHidden/>
    <w:unhideWhenUsed/>
    <w:rsid w:val="00335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17"/>
    <w:rPr>
      <w:rFonts w:ascii="Segoe UI" w:eastAsia="Calibri" w:hAnsi="Segoe UI" w:cs="Segoe UI"/>
      <w:sz w:val="18"/>
      <w:szCs w:val="18"/>
    </w:rPr>
  </w:style>
  <w:style w:type="character" w:styleId="FollowedHyperlink">
    <w:name w:val="FollowedHyperlink"/>
    <w:basedOn w:val="DefaultParagraphFont"/>
    <w:uiPriority w:val="99"/>
    <w:semiHidden/>
    <w:unhideWhenUsed/>
    <w:rsid w:val="009F24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A63F7"/>
    <w:rPr>
      <w:b/>
      <w:bCs/>
    </w:rPr>
  </w:style>
  <w:style w:type="character" w:customStyle="1" w:styleId="CommentSubjectChar">
    <w:name w:val="Comment Subject Char"/>
    <w:basedOn w:val="CommentTextChar"/>
    <w:link w:val="CommentSubject"/>
    <w:uiPriority w:val="99"/>
    <w:semiHidden/>
    <w:rsid w:val="00EA63F7"/>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546">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511217103">
          <w:marLeft w:val="360"/>
          <w:marRight w:val="0"/>
          <w:marTop w:val="200"/>
          <w:marBottom w:val="0"/>
          <w:divBdr>
            <w:top w:val="none" w:sz="0" w:space="0" w:color="auto"/>
            <w:left w:val="none" w:sz="0" w:space="0" w:color="auto"/>
            <w:bottom w:val="none" w:sz="0" w:space="0" w:color="auto"/>
            <w:right w:val="none" w:sz="0" w:space="0" w:color="auto"/>
          </w:divBdr>
        </w:div>
        <w:div w:id="857043268">
          <w:marLeft w:val="1080"/>
          <w:marRight w:val="0"/>
          <w:marTop w:val="100"/>
          <w:marBottom w:val="0"/>
          <w:divBdr>
            <w:top w:val="none" w:sz="0" w:space="0" w:color="auto"/>
            <w:left w:val="none" w:sz="0" w:space="0" w:color="auto"/>
            <w:bottom w:val="none" w:sz="0" w:space="0" w:color="auto"/>
            <w:right w:val="none" w:sz="0" w:space="0" w:color="auto"/>
          </w:divBdr>
        </w:div>
        <w:div w:id="98263703">
          <w:marLeft w:val="1080"/>
          <w:marRight w:val="0"/>
          <w:marTop w:val="100"/>
          <w:marBottom w:val="0"/>
          <w:divBdr>
            <w:top w:val="none" w:sz="0" w:space="0" w:color="auto"/>
            <w:left w:val="none" w:sz="0" w:space="0" w:color="auto"/>
            <w:bottom w:val="none" w:sz="0" w:space="0" w:color="auto"/>
            <w:right w:val="none" w:sz="0" w:space="0" w:color="auto"/>
          </w:divBdr>
        </w:div>
        <w:div w:id="1336685275">
          <w:marLeft w:val="1080"/>
          <w:marRight w:val="0"/>
          <w:marTop w:val="100"/>
          <w:marBottom w:val="0"/>
          <w:divBdr>
            <w:top w:val="none" w:sz="0" w:space="0" w:color="auto"/>
            <w:left w:val="none" w:sz="0" w:space="0" w:color="auto"/>
            <w:bottom w:val="none" w:sz="0" w:space="0" w:color="auto"/>
            <w:right w:val="none" w:sz="0" w:space="0" w:color="auto"/>
          </w:divBdr>
        </w:div>
        <w:div w:id="1900558197">
          <w:marLeft w:val="1080"/>
          <w:marRight w:val="0"/>
          <w:marTop w:val="100"/>
          <w:marBottom w:val="0"/>
          <w:divBdr>
            <w:top w:val="none" w:sz="0" w:space="0" w:color="auto"/>
            <w:left w:val="none" w:sz="0" w:space="0" w:color="auto"/>
            <w:bottom w:val="none" w:sz="0" w:space="0" w:color="auto"/>
            <w:right w:val="none" w:sz="0" w:space="0" w:color="auto"/>
          </w:divBdr>
        </w:div>
        <w:div w:id="2141065672">
          <w:marLeft w:val="1080"/>
          <w:marRight w:val="0"/>
          <w:marTop w:val="100"/>
          <w:marBottom w:val="0"/>
          <w:divBdr>
            <w:top w:val="none" w:sz="0" w:space="0" w:color="auto"/>
            <w:left w:val="none" w:sz="0" w:space="0" w:color="auto"/>
            <w:bottom w:val="none" w:sz="0" w:space="0" w:color="auto"/>
            <w:right w:val="none" w:sz="0" w:space="0" w:color="auto"/>
          </w:divBdr>
        </w:div>
        <w:div w:id="1736124702">
          <w:marLeft w:val="360"/>
          <w:marRight w:val="0"/>
          <w:marTop w:val="200"/>
          <w:marBottom w:val="0"/>
          <w:divBdr>
            <w:top w:val="none" w:sz="0" w:space="0" w:color="auto"/>
            <w:left w:val="none" w:sz="0" w:space="0" w:color="auto"/>
            <w:bottom w:val="none" w:sz="0" w:space="0" w:color="auto"/>
            <w:right w:val="none" w:sz="0" w:space="0" w:color="auto"/>
          </w:divBdr>
        </w:div>
        <w:div w:id="1534802113">
          <w:marLeft w:val="1080"/>
          <w:marRight w:val="0"/>
          <w:marTop w:val="100"/>
          <w:marBottom w:val="0"/>
          <w:divBdr>
            <w:top w:val="none" w:sz="0" w:space="0" w:color="auto"/>
            <w:left w:val="none" w:sz="0" w:space="0" w:color="auto"/>
            <w:bottom w:val="none" w:sz="0" w:space="0" w:color="auto"/>
            <w:right w:val="none" w:sz="0" w:space="0" w:color="auto"/>
          </w:divBdr>
        </w:div>
        <w:div w:id="1089428409">
          <w:marLeft w:val="1080"/>
          <w:marRight w:val="0"/>
          <w:marTop w:val="100"/>
          <w:marBottom w:val="0"/>
          <w:divBdr>
            <w:top w:val="none" w:sz="0" w:space="0" w:color="auto"/>
            <w:left w:val="none" w:sz="0" w:space="0" w:color="auto"/>
            <w:bottom w:val="none" w:sz="0" w:space="0" w:color="auto"/>
            <w:right w:val="none" w:sz="0" w:space="0" w:color="auto"/>
          </w:divBdr>
        </w:div>
        <w:div w:id="1775710556">
          <w:marLeft w:val="1080"/>
          <w:marRight w:val="0"/>
          <w:marTop w:val="100"/>
          <w:marBottom w:val="0"/>
          <w:divBdr>
            <w:top w:val="none" w:sz="0" w:space="0" w:color="auto"/>
            <w:left w:val="none" w:sz="0" w:space="0" w:color="auto"/>
            <w:bottom w:val="none" w:sz="0" w:space="0" w:color="auto"/>
            <w:right w:val="none" w:sz="0" w:space="0" w:color="auto"/>
          </w:divBdr>
        </w:div>
      </w:divsChild>
    </w:div>
    <w:div w:id="1034817446">
      <w:bodyDiv w:val="1"/>
      <w:marLeft w:val="0"/>
      <w:marRight w:val="0"/>
      <w:marTop w:val="0"/>
      <w:marBottom w:val="0"/>
      <w:divBdr>
        <w:top w:val="none" w:sz="0" w:space="0" w:color="auto"/>
        <w:left w:val="none" w:sz="0" w:space="0" w:color="auto"/>
        <w:bottom w:val="none" w:sz="0" w:space="0" w:color="auto"/>
        <w:right w:val="none" w:sz="0" w:space="0" w:color="auto"/>
      </w:divBdr>
      <w:divsChild>
        <w:div w:id="1883899413">
          <w:marLeft w:val="360"/>
          <w:marRight w:val="0"/>
          <w:marTop w:val="200"/>
          <w:marBottom w:val="0"/>
          <w:divBdr>
            <w:top w:val="none" w:sz="0" w:space="0" w:color="auto"/>
            <w:left w:val="none" w:sz="0" w:space="0" w:color="auto"/>
            <w:bottom w:val="none" w:sz="0" w:space="0" w:color="auto"/>
            <w:right w:val="none" w:sz="0" w:space="0" w:color="auto"/>
          </w:divBdr>
        </w:div>
        <w:div w:id="1627471778">
          <w:marLeft w:val="360"/>
          <w:marRight w:val="0"/>
          <w:marTop w:val="200"/>
          <w:marBottom w:val="0"/>
          <w:divBdr>
            <w:top w:val="none" w:sz="0" w:space="0" w:color="auto"/>
            <w:left w:val="none" w:sz="0" w:space="0" w:color="auto"/>
            <w:bottom w:val="none" w:sz="0" w:space="0" w:color="auto"/>
            <w:right w:val="none" w:sz="0" w:space="0" w:color="auto"/>
          </w:divBdr>
        </w:div>
      </w:divsChild>
    </w:div>
    <w:div w:id="14009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lee@nu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iversitiesuk.ac.uk/policy-and-analysis/reports/Documents/2013/power-of-part-time.pdf" TargetMode="External"/><Relationship Id="rId1" Type="http://schemas.openxmlformats.org/officeDocument/2006/relationships/hyperlink" Target="http://www.hefce.ac.uk/pubs/year/2014/201408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0CE3-053B-4CF8-AADE-DBEC5D50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Lee</dc:creator>
  <cp:keywords/>
  <dc:description/>
  <cp:lastModifiedBy>Camilla Harris</cp:lastModifiedBy>
  <cp:revision>17</cp:revision>
  <dcterms:created xsi:type="dcterms:W3CDTF">2017-05-25T15:16:00Z</dcterms:created>
  <dcterms:modified xsi:type="dcterms:W3CDTF">2017-05-31T09:15:00Z</dcterms:modified>
</cp:coreProperties>
</file>